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47" w:rsidRDefault="00016547">
      <w:pPr>
        <w:pStyle w:val="Textoindependiente"/>
        <w:spacing w:before="5"/>
        <w:ind w:left="0"/>
        <w:jc w:val="left"/>
        <w:rPr>
          <w:rFonts w:ascii="Times New Roman"/>
          <w:sz w:val="15"/>
        </w:rPr>
      </w:pPr>
    </w:p>
    <w:p w:rsidR="00016547" w:rsidRDefault="00FC136F">
      <w:pPr>
        <w:spacing w:before="38"/>
        <w:ind w:left="3283" w:right="2067" w:hanging="529"/>
        <w:rPr>
          <w:rFonts w:ascii="Tahoma"/>
          <w:b/>
          <w:sz w:val="36"/>
        </w:rPr>
      </w:pPr>
      <w:r>
        <w:rPr>
          <w:noProof/>
          <w:lang w:val="es-ES"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6485890</wp:posOffset>
            </wp:positionH>
            <wp:positionV relativeFrom="paragraph">
              <wp:posOffset>-113172</wp:posOffset>
            </wp:positionV>
            <wp:extent cx="704214" cy="10071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4" cy="100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-94122</wp:posOffset>
            </wp:positionV>
            <wp:extent cx="1571625" cy="1266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36"/>
        </w:rPr>
        <w:t>UNIVERSIDAD DE LA HABANA FACULTAD DE DERECHO</w:t>
      </w:r>
    </w:p>
    <w:p w:rsidR="00016547" w:rsidRDefault="00FC136F" w:rsidP="005C38FD">
      <w:pPr>
        <w:pStyle w:val="Ttulo2"/>
        <w:spacing w:before="1" w:line="240" w:lineRule="exact"/>
        <w:ind w:left="2754" w:right="2067"/>
        <w:jc w:val="center"/>
      </w:pPr>
      <w:r>
        <w:t>CONVOCATORIA INTERNACIONAL</w:t>
      </w:r>
    </w:p>
    <w:p w:rsidR="00016547" w:rsidRDefault="00974C47">
      <w:pPr>
        <w:ind w:left="2754" w:right="1456" w:firstLine="65"/>
        <w:rPr>
          <w:rFonts w:ascii="Tahoma" w:hAnsi="Tahoma"/>
          <w:b/>
        </w:rPr>
      </w:pPr>
      <w:r>
        <w:rPr>
          <w:rFonts w:ascii="Tahoma" w:hAnsi="Tahoma"/>
          <w:b/>
        </w:rPr>
        <w:t>V</w:t>
      </w:r>
      <w:r w:rsidR="00FC136F">
        <w:rPr>
          <w:rFonts w:ascii="Tahoma" w:hAnsi="Tahoma"/>
          <w:b/>
        </w:rPr>
        <w:t xml:space="preserve"> Seminario Internacional sobre el Derecho penal y la Criminología. Su práctica en Angola</w:t>
      </w:r>
      <w:r w:rsidR="00FC136F">
        <w:rPr>
          <w:b/>
        </w:rPr>
        <w:t xml:space="preserve">, Cuba, Ecuador y Guatemala </w:t>
      </w:r>
      <w:r w:rsidR="00FC136F">
        <w:rPr>
          <w:rFonts w:ascii="Tahoma" w:hAnsi="Tahoma"/>
          <w:b/>
        </w:rPr>
        <w:t>en el Siglo XXI.</w:t>
      </w:r>
    </w:p>
    <w:p w:rsidR="00892AC3" w:rsidRDefault="00892AC3">
      <w:pPr>
        <w:ind w:left="2754" w:right="1456" w:firstLine="65"/>
        <w:rPr>
          <w:rFonts w:ascii="Tahoma" w:hAnsi="Tahoma"/>
          <w:b/>
        </w:rPr>
      </w:pPr>
    </w:p>
    <w:p w:rsidR="00016547" w:rsidRDefault="008721F9">
      <w:pPr>
        <w:spacing w:before="3"/>
        <w:ind w:left="618" w:right="2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 10 y jueves 11 de julio de 2019, de</w:t>
      </w:r>
      <w:r w:rsidR="00FC136F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3.00 p</w:t>
      </w:r>
      <w:r w:rsidR="00FC136F">
        <w:rPr>
          <w:rFonts w:ascii="Tahoma" w:hAnsi="Tahoma"/>
          <w:b/>
          <w:sz w:val="20"/>
        </w:rPr>
        <w:t>.m.</w:t>
      </w:r>
      <w:r>
        <w:rPr>
          <w:rFonts w:ascii="Tahoma" w:hAnsi="Tahoma"/>
          <w:b/>
          <w:sz w:val="20"/>
        </w:rPr>
        <w:t xml:space="preserve"> a 6.30 p.m.</w:t>
      </w:r>
      <w:r w:rsidR="00FC136F">
        <w:rPr>
          <w:rFonts w:ascii="Tahoma" w:hAnsi="Tahoma"/>
          <w:b/>
          <w:sz w:val="20"/>
        </w:rPr>
        <w:t>, en la Sede Nacional de la Uni</w:t>
      </w:r>
      <w:r>
        <w:rPr>
          <w:rFonts w:ascii="Tahoma" w:hAnsi="Tahoma"/>
          <w:b/>
          <w:sz w:val="20"/>
        </w:rPr>
        <w:t xml:space="preserve">ón Nacional de Juristas de Cuba </w:t>
      </w:r>
    </w:p>
    <w:p w:rsidR="00016547" w:rsidRDefault="00016547">
      <w:pPr>
        <w:pStyle w:val="Textoindependiente"/>
        <w:spacing w:before="11"/>
        <w:ind w:left="0"/>
        <w:jc w:val="left"/>
        <w:rPr>
          <w:rFonts w:ascii="Tahoma"/>
          <w:b/>
          <w:sz w:val="19"/>
        </w:rPr>
      </w:pPr>
    </w:p>
    <w:p w:rsidR="00016547" w:rsidRDefault="00FC136F">
      <w:pPr>
        <w:ind w:left="618" w:right="377"/>
        <w:jc w:val="both"/>
        <w:rPr>
          <w:b/>
          <w:sz w:val="18"/>
        </w:rPr>
      </w:pPr>
      <w:r>
        <w:rPr>
          <w:sz w:val="18"/>
        </w:rPr>
        <w:t xml:space="preserve">El Departamento de Ciencias Penales y Criminológicas de la Facultad de Derecho de la Universidad de La Habana, con el auspicio de la Sociedad cubana de Ciencias Penales convoca al </w:t>
      </w:r>
      <w:r>
        <w:rPr>
          <w:b/>
          <w:sz w:val="18"/>
        </w:rPr>
        <w:t>“</w:t>
      </w:r>
      <w:r w:rsidR="00974C47">
        <w:rPr>
          <w:b/>
          <w:sz w:val="18"/>
        </w:rPr>
        <w:t>V</w:t>
      </w:r>
      <w:r>
        <w:rPr>
          <w:b/>
          <w:sz w:val="18"/>
        </w:rPr>
        <w:t xml:space="preserve"> Seminario Internacional sobre el Derecho penal y la Criminología. Su práctica en Angola, Cuba, Ecuador y Guatemala en el Siglo XXI”, </w:t>
      </w:r>
      <w:r w:rsidR="008721F9">
        <w:rPr>
          <w:sz w:val="18"/>
        </w:rPr>
        <w:t>para los días 10 y 11 de julio de 2019</w:t>
      </w:r>
      <w:r>
        <w:rPr>
          <w:sz w:val="18"/>
        </w:rPr>
        <w:t>, en la Sede Nacional de la Unión Nacional de Juristas de Cuba, en el marco  de</w:t>
      </w:r>
      <w:r w:rsidR="00974C47">
        <w:rPr>
          <w:sz w:val="18"/>
        </w:rPr>
        <w:t>l “</w:t>
      </w:r>
      <w:r w:rsidR="008721F9">
        <w:rPr>
          <w:sz w:val="18"/>
        </w:rPr>
        <w:t xml:space="preserve">XV Encuentro Internacional: </w:t>
      </w:r>
      <w:r>
        <w:rPr>
          <w:sz w:val="18"/>
        </w:rPr>
        <w:t>Escuela de Verano de la Habana sob</w:t>
      </w:r>
      <w:r w:rsidR="00974C47">
        <w:rPr>
          <w:sz w:val="18"/>
        </w:rPr>
        <w:t xml:space="preserve">re Temas Penales Contemporáneos, </w:t>
      </w:r>
      <w:r>
        <w:rPr>
          <w:sz w:val="18"/>
        </w:rPr>
        <w:t xml:space="preserve">en Homenaje </w:t>
      </w:r>
      <w:r w:rsidR="00974C47">
        <w:rPr>
          <w:sz w:val="18"/>
        </w:rPr>
        <w:t xml:space="preserve"> a la Dra. </w:t>
      </w:r>
      <w:r w:rsidR="008721F9">
        <w:rPr>
          <w:sz w:val="18"/>
        </w:rPr>
        <w:t>Ana Isabel Pérez Cepeda</w:t>
      </w:r>
      <w:r w:rsidR="00974C47">
        <w:rPr>
          <w:sz w:val="18"/>
        </w:rPr>
        <w:t>,</w:t>
      </w:r>
      <w:r w:rsidR="008721F9">
        <w:rPr>
          <w:b/>
          <w:sz w:val="18"/>
        </w:rPr>
        <w:t xml:space="preserve"> que se desarrollará entre el 8 y el 12</w:t>
      </w:r>
      <w:r>
        <w:rPr>
          <w:b/>
          <w:sz w:val="18"/>
        </w:rPr>
        <w:t xml:space="preserve"> de julio de</w:t>
      </w:r>
      <w:r>
        <w:rPr>
          <w:b/>
          <w:spacing w:val="-19"/>
          <w:sz w:val="18"/>
        </w:rPr>
        <w:t xml:space="preserve"> </w:t>
      </w:r>
      <w:r w:rsidR="008721F9">
        <w:rPr>
          <w:b/>
          <w:sz w:val="18"/>
        </w:rPr>
        <w:t>2019</w:t>
      </w:r>
      <w:r>
        <w:rPr>
          <w:b/>
          <w:sz w:val="18"/>
        </w:rPr>
        <w:t>.</w:t>
      </w:r>
    </w:p>
    <w:p w:rsidR="00016547" w:rsidRPr="008721F9" w:rsidRDefault="00FC136F" w:rsidP="008721F9">
      <w:pPr>
        <w:pStyle w:val="Textoindependiente"/>
        <w:spacing w:before="4"/>
        <w:rPr>
          <w:b/>
        </w:rPr>
      </w:pPr>
      <w:r w:rsidRPr="008721F9">
        <w:rPr>
          <w:b/>
        </w:rPr>
        <w:t>Las sesiones de t</w:t>
      </w:r>
      <w:r w:rsidR="008721F9" w:rsidRPr="008721F9">
        <w:rPr>
          <w:b/>
        </w:rPr>
        <w:t>rabajo se realizarán entre las 3</w:t>
      </w:r>
      <w:r w:rsidRPr="008721F9">
        <w:rPr>
          <w:b/>
        </w:rPr>
        <w:t>.0</w:t>
      </w:r>
      <w:r w:rsidR="00974C47" w:rsidRPr="008721F9">
        <w:rPr>
          <w:b/>
        </w:rPr>
        <w:t xml:space="preserve">0 </w:t>
      </w:r>
      <w:r w:rsidR="008721F9" w:rsidRPr="008721F9">
        <w:rPr>
          <w:b/>
        </w:rPr>
        <w:t>p.m. y las 6.3</w:t>
      </w:r>
      <w:r w:rsidR="00974C47" w:rsidRPr="008721F9">
        <w:rPr>
          <w:b/>
        </w:rPr>
        <w:t xml:space="preserve">0 p.m. </w:t>
      </w:r>
      <w:r w:rsidR="008721F9" w:rsidRPr="008721F9">
        <w:rPr>
          <w:b/>
        </w:rPr>
        <w:t xml:space="preserve"> </w:t>
      </w:r>
    </w:p>
    <w:p w:rsidR="00016547" w:rsidRDefault="00FC136F">
      <w:pPr>
        <w:pStyle w:val="Textoindependiente"/>
        <w:ind w:right="381"/>
      </w:pPr>
      <w:r>
        <w:t>El primer día se dedicará, en lo fundamental</w:t>
      </w:r>
      <w:r w:rsidR="008721F9">
        <w:t>,</w:t>
      </w:r>
      <w:r>
        <w:t xml:space="preserve"> a los aspirantes de los programas de doc</w:t>
      </w:r>
      <w:r w:rsidR="008721F9">
        <w:t xml:space="preserve">torado y el segundo a los de maestrías. </w:t>
      </w:r>
    </w:p>
    <w:p w:rsidR="001B0361" w:rsidRDefault="00FC136F" w:rsidP="001B0361">
      <w:pPr>
        <w:pStyle w:val="Textoindependiente"/>
        <w:ind w:right="377"/>
      </w:pPr>
      <w:r>
        <w:t>El Seminario está destinado a los profesores de Derecho penal y sus discípulos</w:t>
      </w:r>
      <w:r w:rsidR="008721F9">
        <w:t xml:space="preserve"> de los programas de doctorado, maestrías y diplomados</w:t>
      </w:r>
      <w:r>
        <w:t xml:space="preserve"> y a otros profesionales y estudiantes de Derecho que deseen asistir y se inscriban por  la vía indicada en la convocatoria. La aceptación de las ponencias de profesionales del Derecho, nacionales o extranjeros, no vinculados a los programas de maestrías y doctorados, estará en dependencia del número de solicitudes que se reciban y de las posibilidades organizativas del</w:t>
      </w:r>
      <w:r>
        <w:rPr>
          <w:spacing w:val="-32"/>
        </w:rPr>
        <w:t xml:space="preserve"> </w:t>
      </w:r>
      <w:r w:rsidR="00974C47">
        <w:t>S</w:t>
      </w:r>
      <w:r>
        <w:t>eminario.</w:t>
      </w:r>
      <w:r w:rsidR="001B0361">
        <w:t xml:space="preserve"> </w:t>
      </w:r>
    </w:p>
    <w:p w:rsidR="001B0361" w:rsidRDefault="00FC136F" w:rsidP="001B0361">
      <w:pPr>
        <w:pStyle w:val="Textoindependiente"/>
        <w:ind w:right="377"/>
        <w:rPr>
          <w:b/>
        </w:rPr>
      </w:pPr>
      <w:r>
        <w:rPr>
          <w:b/>
        </w:rPr>
        <w:t>Se promoverá la presentación de ponencias conjuntas de tutores y aspirantes.</w:t>
      </w:r>
      <w:r w:rsidR="001B0361">
        <w:rPr>
          <w:b/>
        </w:rPr>
        <w:t xml:space="preserve"> </w:t>
      </w:r>
    </w:p>
    <w:p w:rsidR="00016547" w:rsidRPr="001B0361" w:rsidRDefault="001B0361" w:rsidP="001B0361">
      <w:pPr>
        <w:pStyle w:val="Textoindependiente"/>
        <w:ind w:right="377"/>
        <w:rPr>
          <w:b/>
          <w:szCs w:val="22"/>
        </w:rPr>
      </w:pPr>
      <w:r w:rsidRPr="001B0361">
        <w:t xml:space="preserve">Las solicitudes de participación como ponentes o delegados se recibirán hasta el </w:t>
      </w:r>
      <w:r w:rsidRPr="001B0361">
        <w:rPr>
          <w:b/>
        </w:rPr>
        <w:t xml:space="preserve">20 de junio de 2019 </w:t>
      </w:r>
      <w:r w:rsidRPr="001B0361">
        <w:t xml:space="preserve">por los correos electrónicos: </w:t>
      </w:r>
      <w:hyperlink r:id="rId8" w:history="1">
        <w:r w:rsidRPr="001B0361">
          <w:rPr>
            <w:rStyle w:val="Hipervnculo"/>
          </w:rPr>
          <w:t>arnel@lex.uh.cu</w:t>
        </w:r>
      </w:hyperlink>
      <w:r w:rsidRPr="001B0361">
        <w:t xml:space="preserve">, </w:t>
      </w:r>
      <w:hyperlink r:id="rId9" w:history="1">
        <w:r w:rsidRPr="001B0361">
          <w:rPr>
            <w:rStyle w:val="Hipervnculo"/>
          </w:rPr>
          <w:t>rodolfo@lex.uh.cu</w:t>
        </w:r>
      </w:hyperlink>
      <w:r w:rsidRPr="001B0361">
        <w:t xml:space="preserve">, </w:t>
      </w:r>
      <w:hyperlink r:id="rId10" w:history="1">
        <w:r w:rsidRPr="001B0361">
          <w:rPr>
            <w:rStyle w:val="Hipervnculo"/>
          </w:rPr>
          <w:t>iracama@lex.uh.cu</w:t>
        </w:r>
      </w:hyperlink>
      <w:r w:rsidRPr="001B0361">
        <w:t xml:space="preserve"> Las </w:t>
      </w:r>
      <w:r w:rsidR="00FC136F" w:rsidRPr="001B0361">
        <w:t xml:space="preserve">ponencias tendrán una extensión máxima de 25 cuartillas y se recibirán hasta el </w:t>
      </w:r>
      <w:r w:rsidR="008721F9" w:rsidRPr="001B0361">
        <w:rPr>
          <w:b/>
        </w:rPr>
        <w:t>2</w:t>
      </w:r>
      <w:r w:rsidR="00974C47" w:rsidRPr="001B0361">
        <w:rPr>
          <w:b/>
        </w:rPr>
        <w:t xml:space="preserve"> de </w:t>
      </w:r>
      <w:r w:rsidR="008721F9" w:rsidRPr="001B0361">
        <w:rPr>
          <w:b/>
        </w:rPr>
        <w:t>julio de 2019</w:t>
      </w:r>
      <w:r w:rsidR="00FC136F" w:rsidRPr="001B0361">
        <w:rPr>
          <w:b/>
        </w:rPr>
        <w:t xml:space="preserve">, </w:t>
      </w:r>
      <w:r w:rsidR="00FC136F" w:rsidRPr="001B0361">
        <w:t>por los correos electrónicos indicados anteriormente y a todos los participantes extranjeros se les propiciará un espacio en el programa para exponer en el Seminario.</w:t>
      </w:r>
    </w:p>
    <w:p w:rsidR="00016547" w:rsidRDefault="00FC136F">
      <w:pPr>
        <w:pStyle w:val="Textoindependiente"/>
        <w:ind w:right="379"/>
      </w:pPr>
      <w:r>
        <w:t>La colegiatura será de 60.00 pesos convertibles cubanos (CUC) para los que solo asistan al Seminario  Internacional y de 210.00 para los que asistan</w:t>
      </w:r>
      <w:r w:rsidR="00974C47">
        <w:t xml:space="preserve"> también</w:t>
      </w:r>
      <w:r>
        <w:t xml:space="preserve"> a la Escuela de Verano, como colegiatura única y se hará efectiva en el momento de la acreditación que se efectuará en la Sede Nacional de la Unión Nacional de Juristas de Cuba, </w:t>
      </w:r>
      <w:r w:rsidR="007D6137">
        <w:t>l</w:t>
      </w:r>
      <w:r w:rsidR="00073ACE">
        <w:t xml:space="preserve">os días 8 y 9 de junio de 2019 o </w:t>
      </w:r>
      <w:bookmarkStart w:id="0" w:name="_GoBack"/>
      <w:bookmarkEnd w:id="0"/>
      <w:r w:rsidR="00073ACE" w:rsidRPr="00073ACE">
        <w:t xml:space="preserve">a través de la agencia </w:t>
      </w:r>
      <w:proofErr w:type="spellStart"/>
      <w:r w:rsidR="00073ACE" w:rsidRPr="00073ACE">
        <w:t>Havanatur</w:t>
      </w:r>
      <w:proofErr w:type="spellEnd"/>
      <w:r w:rsidR="00073ACE" w:rsidRPr="00073ACE">
        <w:t xml:space="preserve"> previo a la realización del evento.</w:t>
      </w:r>
    </w:p>
    <w:p w:rsidR="00892AC3" w:rsidRDefault="00FC136F" w:rsidP="005C38FD">
      <w:pPr>
        <w:pStyle w:val="Textoindependiente"/>
        <w:spacing w:before="2" w:line="206" w:lineRule="exact"/>
      </w:pPr>
      <w:r>
        <w:t>Se entregarán certificados de ponentes y de delegados.</w:t>
      </w:r>
    </w:p>
    <w:p w:rsidR="00892AC3" w:rsidRDefault="00FC136F" w:rsidP="005C38FD">
      <w:pPr>
        <w:pStyle w:val="Ttulo1"/>
        <w:spacing w:line="264" w:lineRule="exact"/>
        <w:jc w:val="both"/>
      </w:pPr>
      <w:r>
        <w:t>Temas convocados:</w:t>
      </w:r>
    </w:p>
    <w:p w:rsidR="008F38B4" w:rsidRDefault="008F38B4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 xml:space="preserve">El enfrentamiento al terrorismo y a sus fuentes de financiamiento 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sociedad de riesgo y la prevención situacional del</w:t>
      </w:r>
      <w:r>
        <w:rPr>
          <w:spacing w:val="-22"/>
          <w:sz w:val="16"/>
        </w:rPr>
        <w:t xml:space="preserve"> </w:t>
      </w:r>
      <w:r>
        <w:rPr>
          <w:sz w:val="16"/>
        </w:rPr>
        <w:t>delito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investigación criminal en el nuevo milenio.</w:t>
      </w:r>
      <w:r>
        <w:rPr>
          <w:spacing w:val="-35"/>
          <w:sz w:val="16"/>
        </w:rPr>
        <w:t xml:space="preserve"> </w:t>
      </w:r>
      <w:r>
        <w:rPr>
          <w:sz w:val="16"/>
        </w:rPr>
        <w:t>Aportes de la ciencia criminalística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prueba pericial criminalística. Trascendencia en el proceso penal</w:t>
      </w:r>
      <w:r>
        <w:rPr>
          <w:spacing w:val="-30"/>
          <w:sz w:val="16"/>
        </w:rPr>
        <w:t xml:space="preserve"> </w:t>
      </w:r>
      <w:r>
        <w:rPr>
          <w:sz w:val="16"/>
        </w:rPr>
        <w:t>angolano</w:t>
      </w:r>
    </w:p>
    <w:p w:rsidR="00016547" w:rsidRDefault="00FC136F" w:rsidP="00974C47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spacing w:line="240" w:lineRule="auto"/>
        <w:ind w:left="1247"/>
        <w:rPr>
          <w:sz w:val="16"/>
        </w:rPr>
      </w:pP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nuevos</w:t>
      </w:r>
      <w:r>
        <w:rPr>
          <w:spacing w:val="-3"/>
          <w:sz w:val="16"/>
        </w:rPr>
        <w:t xml:space="preserve"> </w:t>
      </w:r>
      <w:r>
        <w:rPr>
          <w:sz w:val="16"/>
        </w:rPr>
        <w:t>métodos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investigación</w:t>
      </w:r>
      <w:r>
        <w:rPr>
          <w:spacing w:val="-4"/>
          <w:sz w:val="16"/>
        </w:rPr>
        <w:t xml:space="preserve"> </w:t>
      </w:r>
      <w:r>
        <w:rPr>
          <w:sz w:val="16"/>
        </w:rPr>
        <w:t>criminal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lucha</w:t>
      </w:r>
      <w:r>
        <w:rPr>
          <w:spacing w:val="-3"/>
          <w:sz w:val="16"/>
        </w:rPr>
        <w:t xml:space="preserve"> </w:t>
      </w:r>
      <w:r>
        <w:rPr>
          <w:sz w:val="16"/>
        </w:rPr>
        <w:t>contra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criminalidad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convencional</w:t>
      </w:r>
    </w:p>
    <w:p w:rsidR="00016547" w:rsidRDefault="00FC136F" w:rsidP="00974C47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spacing w:line="240" w:lineRule="auto"/>
        <w:ind w:left="1247"/>
        <w:rPr>
          <w:sz w:val="16"/>
        </w:rPr>
      </w:pPr>
      <w:r>
        <w:rPr>
          <w:sz w:val="16"/>
        </w:rPr>
        <w:t>Los delitos contra el</w:t>
      </w:r>
      <w:r>
        <w:rPr>
          <w:spacing w:val="-11"/>
          <w:sz w:val="16"/>
        </w:rPr>
        <w:t xml:space="preserve"> </w:t>
      </w:r>
      <w:r>
        <w:rPr>
          <w:sz w:val="16"/>
        </w:rPr>
        <w:t>ambiente</w:t>
      </w:r>
    </w:p>
    <w:p w:rsidR="007D6137" w:rsidRDefault="007D6137" w:rsidP="00974C47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spacing w:line="240" w:lineRule="auto"/>
        <w:ind w:left="1247"/>
        <w:rPr>
          <w:sz w:val="16"/>
        </w:rPr>
      </w:pPr>
      <w:r>
        <w:rPr>
          <w:sz w:val="16"/>
        </w:rPr>
        <w:t xml:space="preserve">Delitos contra los derechos laborales </w:t>
      </w:r>
    </w:p>
    <w:p w:rsidR="00016547" w:rsidRDefault="00FC136F" w:rsidP="00974C47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spacing w:line="240" w:lineRule="auto"/>
        <w:ind w:left="1247"/>
        <w:rPr>
          <w:sz w:val="16"/>
        </w:rPr>
      </w:pP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lavado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dinero</w:t>
      </w:r>
      <w:r>
        <w:rPr>
          <w:spacing w:val="-3"/>
          <w:sz w:val="16"/>
        </w:rPr>
        <w:t xml:space="preserve"> </w:t>
      </w:r>
      <w:r>
        <w:rPr>
          <w:sz w:val="16"/>
        </w:rPr>
        <w:t>como</w:t>
      </w:r>
      <w:r>
        <w:rPr>
          <w:spacing w:val="-3"/>
          <w:sz w:val="16"/>
        </w:rPr>
        <w:t xml:space="preserve"> </w:t>
      </w:r>
      <w:r>
        <w:rPr>
          <w:sz w:val="16"/>
        </w:rPr>
        <w:t>fenómeno</w:t>
      </w:r>
      <w:r>
        <w:rPr>
          <w:spacing w:val="-3"/>
          <w:sz w:val="16"/>
        </w:rPr>
        <w:t xml:space="preserve"> </w:t>
      </w:r>
      <w:r>
        <w:rPr>
          <w:sz w:val="16"/>
        </w:rPr>
        <w:t>delictivo.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mirada</w:t>
      </w:r>
      <w:r>
        <w:rPr>
          <w:spacing w:val="-3"/>
          <w:sz w:val="16"/>
        </w:rPr>
        <w:t xml:space="preserve"> </w:t>
      </w:r>
      <w:r>
        <w:rPr>
          <w:sz w:val="16"/>
        </w:rPr>
        <w:t>desde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criminología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organismos</w:t>
      </w:r>
      <w:r>
        <w:rPr>
          <w:spacing w:val="-2"/>
          <w:sz w:val="16"/>
        </w:rPr>
        <w:t xml:space="preserve"> </w:t>
      </w:r>
      <w:r>
        <w:rPr>
          <w:sz w:val="16"/>
        </w:rPr>
        <w:t>internacionales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Víctima y proceso penal. Luces y</w:t>
      </w:r>
      <w:r>
        <w:rPr>
          <w:spacing w:val="-13"/>
          <w:sz w:val="16"/>
        </w:rPr>
        <w:t xml:space="preserve"> </w:t>
      </w:r>
      <w:r>
        <w:rPr>
          <w:sz w:val="16"/>
        </w:rPr>
        <w:t>sombras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El proceso de menores en conflicto con la ley</w:t>
      </w:r>
      <w:r>
        <w:rPr>
          <w:spacing w:val="-19"/>
          <w:sz w:val="16"/>
        </w:rPr>
        <w:t xml:space="preserve"> </w:t>
      </w:r>
      <w:r>
        <w:rPr>
          <w:sz w:val="16"/>
        </w:rPr>
        <w:t>penal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spacing w:before="1"/>
        <w:rPr>
          <w:sz w:val="16"/>
        </w:rPr>
      </w:pPr>
      <w:r>
        <w:rPr>
          <w:sz w:val="16"/>
        </w:rPr>
        <w:t>La participación popular en la administración de justicia</w:t>
      </w:r>
      <w:r>
        <w:rPr>
          <w:spacing w:val="-24"/>
          <w:sz w:val="16"/>
        </w:rPr>
        <w:t xml:space="preserve"> </w:t>
      </w:r>
      <w:r>
        <w:rPr>
          <w:sz w:val="16"/>
        </w:rPr>
        <w:t>penal.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justicia restaurativa y los métodos alternativos a la administración de justicia</w:t>
      </w:r>
      <w:r>
        <w:rPr>
          <w:spacing w:val="-31"/>
          <w:sz w:val="16"/>
        </w:rPr>
        <w:t xml:space="preserve"> </w:t>
      </w:r>
      <w:r>
        <w:rPr>
          <w:sz w:val="16"/>
        </w:rPr>
        <w:t>penal.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Corte Penal</w:t>
      </w:r>
      <w:r>
        <w:rPr>
          <w:spacing w:val="-13"/>
          <w:sz w:val="16"/>
        </w:rPr>
        <w:t xml:space="preserve"> </w:t>
      </w:r>
      <w:r>
        <w:rPr>
          <w:sz w:val="16"/>
        </w:rPr>
        <w:t>Internacional.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motivación de la sentencia penal como exigencia del sistema</w:t>
      </w:r>
      <w:r>
        <w:rPr>
          <w:spacing w:val="-29"/>
          <w:sz w:val="16"/>
        </w:rPr>
        <w:t xml:space="preserve"> </w:t>
      </w:r>
      <w:r>
        <w:rPr>
          <w:sz w:val="16"/>
        </w:rPr>
        <w:t>acusatorio.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La independencia judicial. Garantía del debido proceso</w:t>
      </w:r>
      <w:r>
        <w:rPr>
          <w:spacing w:val="-18"/>
          <w:sz w:val="16"/>
        </w:rPr>
        <w:t xml:space="preserve"> </w:t>
      </w:r>
      <w:r>
        <w:rPr>
          <w:sz w:val="16"/>
        </w:rPr>
        <w:t>penal.</w:t>
      </w:r>
    </w:p>
    <w:p w:rsidR="00016547" w:rsidRDefault="008F38B4" w:rsidP="008F38B4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 xml:space="preserve">El tráfico de drogas analizado desde los Instrumentos jurídicos internacionales y las leyes nacionales. </w:t>
      </w:r>
    </w:p>
    <w:p w:rsidR="00016547" w:rsidRDefault="00FC136F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rPr>
          <w:sz w:val="16"/>
        </w:rPr>
      </w:pPr>
      <w:r>
        <w:rPr>
          <w:sz w:val="16"/>
        </w:rPr>
        <w:t>Otros relacionados con los temas de los que tienen sus temas inscriptos para los programas de doctorado y</w:t>
      </w:r>
      <w:r>
        <w:rPr>
          <w:spacing w:val="-34"/>
          <w:sz w:val="16"/>
        </w:rPr>
        <w:t xml:space="preserve"> </w:t>
      </w:r>
      <w:r>
        <w:rPr>
          <w:sz w:val="16"/>
        </w:rPr>
        <w:t>maestrías.</w:t>
      </w:r>
    </w:p>
    <w:p w:rsidR="00892AC3" w:rsidRDefault="00892AC3" w:rsidP="00892AC3">
      <w:pPr>
        <w:pStyle w:val="Prrafodelista"/>
        <w:tabs>
          <w:tab w:val="left" w:pos="1249"/>
          <w:tab w:val="left" w:pos="1250"/>
        </w:tabs>
        <w:ind w:firstLine="0"/>
        <w:rPr>
          <w:sz w:val="16"/>
        </w:rPr>
      </w:pPr>
    </w:p>
    <w:p w:rsidR="005C38FD" w:rsidRDefault="00FC136F" w:rsidP="005C38FD">
      <w:pPr>
        <w:pStyle w:val="Ttulo2"/>
        <w:ind w:right="357"/>
        <w:jc w:val="both"/>
        <w:rPr>
          <w:sz w:val="18"/>
          <w:szCs w:val="18"/>
        </w:rPr>
      </w:pPr>
      <w:r w:rsidRPr="005C38FD">
        <w:rPr>
          <w:sz w:val="18"/>
          <w:szCs w:val="18"/>
        </w:rPr>
        <w:t xml:space="preserve">Para mayor información deben dirigirse a: </w:t>
      </w:r>
    </w:p>
    <w:p w:rsidR="00016547" w:rsidRPr="005C38FD" w:rsidRDefault="00FC136F" w:rsidP="005C38FD">
      <w:pPr>
        <w:pStyle w:val="Ttulo2"/>
        <w:ind w:right="357"/>
        <w:jc w:val="both"/>
        <w:rPr>
          <w:sz w:val="18"/>
          <w:szCs w:val="18"/>
        </w:rPr>
      </w:pPr>
      <w:r w:rsidRPr="005C38FD">
        <w:rPr>
          <w:sz w:val="18"/>
          <w:szCs w:val="18"/>
        </w:rPr>
        <w:t>Dra. Irac</w:t>
      </w:r>
      <w:r w:rsidR="007D6137" w:rsidRPr="005C38FD">
        <w:rPr>
          <w:sz w:val="18"/>
          <w:szCs w:val="18"/>
        </w:rPr>
        <w:t>ema Gálvez Puebla – Coordinadora</w:t>
      </w:r>
    </w:p>
    <w:p w:rsidR="005C38FD" w:rsidRDefault="008F38B4" w:rsidP="005C38FD">
      <w:pPr>
        <w:ind w:left="618" w:right="357"/>
        <w:jc w:val="both"/>
        <w:rPr>
          <w:rFonts w:ascii="Tahoma"/>
          <w:sz w:val="18"/>
          <w:szCs w:val="18"/>
        </w:rPr>
      </w:pPr>
      <w:r w:rsidRPr="005C38FD">
        <w:rPr>
          <w:rFonts w:ascii="Tahoma"/>
          <w:sz w:val="18"/>
          <w:szCs w:val="18"/>
        </w:rPr>
        <w:t>Profesora Titular</w:t>
      </w:r>
      <w:r w:rsidR="00FC136F" w:rsidRPr="005C38FD">
        <w:rPr>
          <w:rFonts w:ascii="Tahoma"/>
          <w:sz w:val="18"/>
          <w:szCs w:val="18"/>
        </w:rPr>
        <w:t xml:space="preserve"> de Derecho penal de la Facultad d</w:t>
      </w:r>
      <w:r w:rsidR="005C38FD" w:rsidRPr="005C38FD">
        <w:rPr>
          <w:rFonts w:ascii="Tahoma"/>
          <w:sz w:val="18"/>
          <w:szCs w:val="18"/>
        </w:rPr>
        <w:t xml:space="preserve">e Derecho de la </w:t>
      </w:r>
      <w:r w:rsidR="007D6137" w:rsidRPr="005C38FD">
        <w:rPr>
          <w:rFonts w:ascii="Tahoma"/>
          <w:sz w:val="18"/>
          <w:szCs w:val="18"/>
        </w:rPr>
        <w:t>Universidad de L</w:t>
      </w:r>
      <w:r w:rsidR="00FC136F" w:rsidRPr="005C38FD">
        <w:rPr>
          <w:rFonts w:ascii="Tahoma"/>
          <w:sz w:val="18"/>
          <w:szCs w:val="18"/>
        </w:rPr>
        <w:t xml:space="preserve">a Habana. </w:t>
      </w:r>
    </w:p>
    <w:p w:rsidR="00016547" w:rsidRPr="005C38FD" w:rsidRDefault="00FC136F" w:rsidP="005C38FD">
      <w:pPr>
        <w:ind w:left="618" w:right="357"/>
        <w:jc w:val="both"/>
        <w:rPr>
          <w:rFonts w:ascii="Tahoma"/>
          <w:color w:val="0000FF"/>
          <w:sz w:val="18"/>
          <w:szCs w:val="18"/>
          <w:u w:val="single" w:color="0000FF"/>
          <w:lang w:val="en-US"/>
        </w:rPr>
      </w:pPr>
      <w:r w:rsidRPr="005C38FD">
        <w:rPr>
          <w:rFonts w:ascii="Tahoma"/>
          <w:sz w:val="18"/>
          <w:szCs w:val="18"/>
          <w:lang w:val="en-US"/>
        </w:rPr>
        <w:t xml:space="preserve">E. mail: </w:t>
      </w:r>
      <w:hyperlink r:id="rId11">
        <w:r w:rsidRPr="005C38FD">
          <w:rPr>
            <w:rFonts w:ascii="Tahoma"/>
            <w:color w:val="0000FF"/>
            <w:sz w:val="18"/>
            <w:szCs w:val="18"/>
            <w:u w:val="single" w:color="0000FF"/>
            <w:lang w:val="en-US"/>
          </w:rPr>
          <w:t>iracema@lex.uh.cu</w:t>
        </w:r>
      </w:hyperlink>
    </w:p>
    <w:p w:rsidR="005C38FD" w:rsidRPr="005C38FD" w:rsidRDefault="005C38FD" w:rsidP="005C38FD">
      <w:pPr>
        <w:ind w:left="618" w:right="357"/>
        <w:jc w:val="both"/>
        <w:rPr>
          <w:rFonts w:ascii="Tahoma"/>
          <w:b/>
          <w:sz w:val="18"/>
          <w:szCs w:val="18"/>
        </w:rPr>
      </w:pPr>
      <w:r w:rsidRPr="005C38FD">
        <w:rPr>
          <w:rFonts w:ascii="Tahoma"/>
          <w:b/>
          <w:sz w:val="18"/>
          <w:szCs w:val="18"/>
        </w:rPr>
        <w:t xml:space="preserve">Ing. Caridad </w:t>
      </w:r>
      <w:proofErr w:type="spellStart"/>
      <w:r w:rsidRPr="005C38FD">
        <w:rPr>
          <w:rFonts w:ascii="Tahoma"/>
          <w:b/>
          <w:sz w:val="18"/>
          <w:szCs w:val="18"/>
        </w:rPr>
        <w:t>Sag</w:t>
      </w:r>
      <w:r w:rsidRPr="005C38FD">
        <w:rPr>
          <w:rFonts w:ascii="Tahoma"/>
          <w:b/>
          <w:sz w:val="18"/>
          <w:szCs w:val="18"/>
        </w:rPr>
        <w:t>ó</w:t>
      </w:r>
      <w:proofErr w:type="spellEnd"/>
      <w:r w:rsidRPr="005C38FD">
        <w:rPr>
          <w:rFonts w:ascii="Tahoma"/>
          <w:b/>
          <w:sz w:val="18"/>
          <w:szCs w:val="18"/>
        </w:rPr>
        <w:t xml:space="preserve"> Rivera-Especialista Principal</w:t>
      </w:r>
    </w:p>
    <w:p w:rsidR="005C38FD" w:rsidRPr="005C38FD" w:rsidRDefault="005C38FD" w:rsidP="005C38FD">
      <w:pPr>
        <w:ind w:left="618" w:right="357"/>
        <w:jc w:val="both"/>
        <w:rPr>
          <w:rFonts w:ascii="Tahoma"/>
          <w:sz w:val="18"/>
          <w:szCs w:val="18"/>
        </w:rPr>
      </w:pPr>
      <w:r w:rsidRPr="005C38FD">
        <w:rPr>
          <w:rFonts w:ascii="Tahoma"/>
          <w:sz w:val="18"/>
          <w:szCs w:val="18"/>
        </w:rPr>
        <w:t>Eventos e Incentivos</w:t>
      </w:r>
    </w:p>
    <w:p w:rsidR="005C38FD" w:rsidRPr="005C38FD" w:rsidRDefault="005C38FD" w:rsidP="005C38FD">
      <w:pPr>
        <w:ind w:left="618" w:right="357"/>
        <w:jc w:val="both"/>
        <w:rPr>
          <w:rFonts w:ascii="Tahoma"/>
          <w:sz w:val="18"/>
          <w:szCs w:val="18"/>
        </w:rPr>
      </w:pPr>
      <w:proofErr w:type="spellStart"/>
      <w:r w:rsidRPr="005C38FD">
        <w:rPr>
          <w:rFonts w:ascii="Tahoma"/>
          <w:sz w:val="18"/>
          <w:szCs w:val="18"/>
        </w:rPr>
        <w:t>Havanatur</w:t>
      </w:r>
      <w:proofErr w:type="spellEnd"/>
      <w:r w:rsidRPr="005C38FD">
        <w:rPr>
          <w:rFonts w:ascii="Tahoma"/>
          <w:sz w:val="18"/>
          <w:szCs w:val="18"/>
        </w:rPr>
        <w:t xml:space="preserve"> T&amp;T Sucursal Habana</w:t>
      </w:r>
    </w:p>
    <w:p w:rsidR="005C38FD" w:rsidRPr="005C38FD" w:rsidRDefault="005C38FD" w:rsidP="005C38FD">
      <w:pPr>
        <w:ind w:left="618" w:right="357"/>
        <w:jc w:val="both"/>
        <w:rPr>
          <w:rFonts w:ascii="Tahoma"/>
          <w:sz w:val="18"/>
          <w:szCs w:val="18"/>
          <w:lang w:val="en-US"/>
        </w:rPr>
      </w:pPr>
      <w:r w:rsidRPr="005C38FD">
        <w:rPr>
          <w:rFonts w:ascii="Tahoma"/>
          <w:sz w:val="18"/>
          <w:szCs w:val="18"/>
          <w:lang w:val="en-US"/>
        </w:rPr>
        <w:t>Email: sago@havanatur.cu</w:t>
      </w:r>
    </w:p>
    <w:p w:rsidR="005C38FD" w:rsidRPr="005C38FD" w:rsidRDefault="005C38FD" w:rsidP="005C38FD">
      <w:pPr>
        <w:ind w:left="618" w:right="3629"/>
        <w:rPr>
          <w:rFonts w:ascii="Tahoma"/>
          <w:sz w:val="18"/>
          <w:szCs w:val="18"/>
          <w:lang w:val="en-US"/>
        </w:rPr>
      </w:pPr>
      <w:proofErr w:type="gramStart"/>
      <w:r w:rsidRPr="005C38FD">
        <w:rPr>
          <w:rFonts w:ascii="Tahoma"/>
          <w:sz w:val="18"/>
          <w:szCs w:val="18"/>
          <w:lang w:val="en-US"/>
        </w:rPr>
        <w:t>Tel.</w:t>
      </w:r>
      <w:proofErr w:type="gramEnd"/>
      <w:r w:rsidRPr="005C38FD">
        <w:rPr>
          <w:rFonts w:ascii="Tahoma"/>
          <w:sz w:val="18"/>
          <w:szCs w:val="18"/>
          <w:lang w:val="en-US"/>
        </w:rPr>
        <w:t xml:space="preserve">  (537) 201-9780</w:t>
      </w:r>
    </w:p>
    <w:sectPr w:rsidR="005C38FD" w:rsidRPr="005C38FD">
      <w:type w:val="continuous"/>
      <w:pgSz w:w="12240" w:h="15840"/>
      <w:pgMar w:top="120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193"/>
    <w:multiLevelType w:val="hybridMultilevel"/>
    <w:tmpl w:val="29B0ACA4"/>
    <w:lvl w:ilvl="0" w:tplc="9D80D0CA">
      <w:numFmt w:val="bullet"/>
      <w:lvlText w:val="-"/>
      <w:lvlJc w:val="left"/>
      <w:pPr>
        <w:ind w:left="1250" w:hanging="348"/>
      </w:pPr>
      <w:rPr>
        <w:rFonts w:ascii="Arial" w:eastAsia="Arial" w:hAnsi="Arial" w:cs="Arial" w:hint="default"/>
        <w:w w:val="100"/>
        <w:sz w:val="16"/>
        <w:szCs w:val="16"/>
      </w:rPr>
    </w:lvl>
    <w:lvl w:ilvl="1" w:tplc="5F58482E">
      <w:numFmt w:val="bullet"/>
      <w:lvlText w:val="•"/>
      <w:lvlJc w:val="left"/>
      <w:pPr>
        <w:ind w:left="2162" w:hanging="348"/>
      </w:pPr>
      <w:rPr>
        <w:rFonts w:hint="default"/>
      </w:rPr>
    </w:lvl>
    <w:lvl w:ilvl="2" w:tplc="90A46DB0">
      <w:numFmt w:val="bullet"/>
      <w:lvlText w:val="•"/>
      <w:lvlJc w:val="left"/>
      <w:pPr>
        <w:ind w:left="3064" w:hanging="348"/>
      </w:pPr>
      <w:rPr>
        <w:rFonts w:hint="default"/>
      </w:rPr>
    </w:lvl>
    <w:lvl w:ilvl="3" w:tplc="54128B7E">
      <w:numFmt w:val="bullet"/>
      <w:lvlText w:val="•"/>
      <w:lvlJc w:val="left"/>
      <w:pPr>
        <w:ind w:left="3966" w:hanging="348"/>
      </w:pPr>
      <w:rPr>
        <w:rFonts w:hint="default"/>
      </w:rPr>
    </w:lvl>
    <w:lvl w:ilvl="4" w:tplc="C30EA5CC">
      <w:numFmt w:val="bullet"/>
      <w:lvlText w:val="•"/>
      <w:lvlJc w:val="left"/>
      <w:pPr>
        <w:ind w:left="4868" w:hanging="348"/>
      </w:pPr>
      <w:rPr>
        <w:rFonts w:hint="default"/>
      </w:rPr>
    </w:lvl>
    <w:lvl w:ilvl="5" w:tplc="FB76845A">
      <w:numFmt w:val="bullet"/>
      <w:lvlText w:val="•"/>
      <w:lvlJc w:val="left"/>
      <w:pPr>
        <w:ind w:left="5770" w:hanging="348"/>
      </w:pPr>
      <w:rPr>
        <w:rFonts w:hint="default"/>
      </w:rPr>
    </w:lvl>
    <w:lvl w:ilvl="6" w:tplc="F4FE7D02">
      <w:numFmt w:val="bullet"/>
      <w:lvlText w:val="•"/>
      <w:lvlJc w:val="left"/>
      <w:pPr>
        <w:ind w:left="6672" w:hanging="348"/>
      </w:pPr>
      <w:rPr>
        <w:rFonts w:hint="default"/>
      </w:rPr>
    </w:lvl>
    <w:lvl w:ilvl="7" w:tplc="2B48CDA8">
      <w:numFmt w:val="bullet"/>
      <w:lvlText w:val="•"/>
      <w:lvlJc w:val="left"/>
      <w:pPr>
        <w:ind w:left="7574" w:hanging="348"/>
      </w:pPr>
      <w:rPr>
        <w:rFonts w:hint="default"/>
      </w:rPr>
    </w:lvl>
    <w:lvl w:ilvl="8" w:tplc="51E63988">
      <w:numFmt w:val="bullet"/>
      <w:lvlText w:val="•"/>
      <w:lvlJc w:val="left"/>
      <w:pPr>
        <w:ind w:left="847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7"/>
    <w:rsid w:val="00016547"/>
    <w:rsid w:val="00073ACE"/>
    <w:rsid w:val="001B0361"/>
    <w:rsid w:val="00474F4A"/>
    <w:rsid w:val="005C38FD"/>
    <w:rsid w:val="006B2EC3"/>
    <w:rsid w:val="007D6137"/>
    <w:rsid w:val="008721F9"/>
    <w:rsid w:val="00892AC3"/>
    <w:rsid w:val="008F38B4"/>
    <w:rsid w:val="00974C47"/>
    <w:rsid w:val="00A600A4"/>
    <w:rsid w:val="00D136C7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paragraph" w:styleId="Ttulo1">
    <w:name w:val="heading 1"/>
    <w:basedOn w:val="Normal"/>
    <w:uiPriority w:val="1"/>
    <w:qFormat/>
    <w:pPr>
      <w:ind w:left="618"/>
      <w:outlineLvl w:val="0"/>
    </w:pPr>
    <w:rPr>
      <w:rFonts w:ascii="Tahoma" w:eastAsia="Tahoma" w:hAnsi="Tahoma" w:cs="Tahoma"/>
      <w:b/>
      <w:bCs/>
    </w:rPr>
  </w:style>
  <w:style w:type="paragraph" w:styleId="Ttulo2">
    <w:name w:val="heading 2"/>
    <w:basedOn w:val="Normal"/>
    <w:uiPriority w:val="1"/>
    <w:qFormat/>
    <w:pPr>
      <w:ind w:left="618" w:right="26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18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193" w:lineRule="exact"/>
      <w:ind w:left="1250" w:hanging="34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74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paragraph" w:styleId="Ttulo1">
    <w:name w:val="heading 1"/>
    <w:basedOn w:val="Normal"/>
    <w:uiPriority w:val="1"/>
    <w:qFormat/>
    <w:pPr>
      <w:ind w:left="618"/>
      <w:outlineLvl w:val="0"/>
    </w:pPr>
    <w:rPr>
      <w:rFonts w:ascii="Tahoma" w:eastAsia="Tahoma" w:hAnsi="Tahoma" w:cs="Tahoma"/>
      <w:b/>
      <w:bCs/>
    </w:rPr>
  </w:style>
  <w:style w:type="paragraph" w:styleId="Ttulo2">
    <w:name w:val="heading 2"/>
    <w:basedOn w:val="Normal"/>
    <w:uiPriority w:val="1"/>
    <w:qFormat/>
    <w:pPr>
      <w:ind w:left="618" w:right="26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18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193" w:lineRule="exact"/>
      <w:ind w:left="1250" w:hanging="34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74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l@lex.uh.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acema@lex.uh.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acama@lex.uh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lfo@lex.uh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</dc:creator>
  <cp:lastModifiedBy>yamila</cp:lastModifiedBy>
  <cp:revision>4</cp:revision>
  <cp:lastPrinted>2018-07-23T03:53:00Z</cp:lastPrinted>
  <dcterms:created xsi:type="dcterms:W3CDTF">2018-07-23T22:02:00Z</dcterms:created>
  <dcterms:modified xsi:type="dcterms:W3CDTF">2018-11-28T15:19:00Z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